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8D042" w14:textId="3989DB6A" w:rsidR="00DF3640" w:rsidRDefault="00DF3640" w:rsidP="00A86C18">
      <w:pPr>
        <w:jc w:val="center"/>
        <w:rPr>
          <w:b/>
          <w:bCs/>
          <w:u w:val="single"/>
        </w:rPr>
      </w:pPr>
      <w:r w:rsidRPr="00A86C18">
        <w:rPr>
          <w:b/>
          <w:bCs/>
          <w:u w:val="single"/>
        </w:rPr>
        <w:t>Key Stage 4 and 5 Destination Data</w:t>
      </w:r>
    </w:p>
    <w:p w14:paraId="00C123C1" w14:textId="77777777" w:rsidR="00A86C18" w:rsidRDefault="00A86C18" w:rsidP="00A86C18">
      <w:pPr>
        <w:jc w:val="center"/>
        <w:rPr>
          <w:b/>
          <w:bCs/>
          <w:u w:val="single"/>
        </w:rPr>
      </w:pPr>
    </w:p>
    <w:p w14:paraId="7F96E033" w14:textId="39225F06" w:rsidR="00A86C18" w:rsidRDefault="00A86C18" w:rsidP="00A86C18">
      <w:r>
        <w:t>Our pupils in</w:t>
      </w:r>
      <w:r w:rsidRPr="00DF3640">
        <w:t xml:space="preserve"> Key Stage 4 have </w:t>
      </w:r>
      <w:r>
        <w:t xml:space="preserve">generally </w:t>
      </w:r>
      <w:r w:rsidRPr="00DF3640">
        <w:t>remai</w:t>
      </w:r>
      <w:r>
        <w:t>ned</w:t>
      </w:r>
      <w:r w:rsidRPr="00DF3640">
        <w:t xml:space="preserve"> in education </w:t>
      </w:r>
      <w:r>
        <w:t>with us although a very small number choose to move onto college, please see figures below.</w:t>
      </w:r>
    </w:p>
    <w:p w14:paraId="352DE83F" w14:textId="2581D885" w:rsidR="00A86C18" w:rsidRDefault="00A86C18" w:rsidP="00A86C18">
      <w:r>
        <w:t>Years 12 and 13</w:t>
      </w:r>
      <w:r w:rsidR="00D55161">
        <w:t xml:space="preserve"> - most of</w:t>
      </w:r>
      <w:r>
        <w:t xml:space="preserve"> our pupils</w:t>
      </w:r>
      <w:r w:rsidRPr="00DF3640">
        <w:t xml:space="preserve"> </w:t>
      </w:r>
      <w:r>
        <w:t>in Year 12 remain here at White Spire to complete their qualifications. Throughout this period, they continue to receive careers education and advi</w:t>
      </w:r>
      <w:r w:rsidR="00D55161">
        <w:t>c</w:t>
      </w:r>
      <w:r>
        <w:t>e. Most of our Year 13s choose to leave, to attend local colleges, pursuing their interests or talents. Those that remain in Year 14 follow a supported work placement in the local community before leaving to alternative provisions.</w:t>
      </w:r>
    </w:p>
    <w:p w14:paraId="73578504" w14:textId="77777777" w:rsidR="00A86C18" w:rsidRPr="00A86C18" w:rsidRDefault="00A86C18" w:rsidP="00A86C18">
      <w:pPr>
        <w:rPr>
          <w:b/>
          <w:bCs/>
          <w:u w:val="single"/>
        </w:rPr>
      </w:pPr>
    </w:p>
    <w:tbl>
      <w:tblPr>
        <w:tblStyle w:val="TableGrid"/>
        <w:tblW w:w="13998" w:type="dxa"/>
        <w:tblInd w:w="-3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49"/>
        <w:gridCol w:w="1499"/>
        <w:gridCol w:w="1500"/>
        <w:gridCol w:w="1500"/>
        <w:gridCol w:w="1275"/>
        <w:gridCol w:w="1275"/>
        <w:gridCol w:w="1275"/>
        <w:gridCol w:w="1912"/>
        <w:gridCol w:w="1913"/>
      </w:tblGrid>
      <w:tr w:rsidR="00A86C18" w14:paraId="2743CB57" w14:textId="2FB6A8B4" w:rsidTr="00A86C18">
        <w:trPr>
          <w:trHeight w:val="616"/>
        </w:trPr>
        <w:tc>
          <w:tcPr>
            <w:tcW w:w="1849" w:type="dxa"/>
            <w:shd w:val="clear" w:color="auto" w:fill="000000" w:themeFill="text1"/>
          </w:tcPr>
          <w:p w14:paraId="28624AD0" w14:textId="77777777" w:rsidR="00A86C18" w:rsidRDefault="00A86C18" w:rsidP="00A86C18">
            <w:pPr>
              <w:jc w:val="center"/>
            </w:pPr>
          </w:p>
        </w:tc>
        <w:tc>
          <w:tcPr>
            <w:tcW w:w="4499" w:type="dxa"/>
            <w:gridSpan w:val="3"/>
            <w:shd w:val="clear" w:color="auto" w:fill="FFC000"/>
          </w:tcPr>
          <w:p w14:paraId="5DDCC828" w14:textId="693701F0" w:rsidR="00A86C18" w:rsidRDefault="00A86C18" w:rsidP="00A86C18">
            <w:pPr>
              <w:jc w:val="center"/>
            </w:pPr>
            <w:r>
              <w:t>Number of Year 11s</w:t>
            </w:r>
          </w:p>
        </w:tc>
        <w:tc>
          <w:tcPr>
            <w:tcW w:w="3825" w:type="dxa"/>
            <w:gridSpan w:val="3"/>
            <w:shd w:val="clear" w:color="auto" w:fill="F6C5AC" w:themeFill="accent2" w:themeFillTint="66"/>
          </w:tcPr>
          <w:p w14:paraId="79F78204" w14:textId="7619B252" w:rsidR="00A86C18" w:rsidRDefault="00A86C18" w:rsidP="00A86C18">
            <w:pPr>
              <w:jc w:val="center"/>
            </w:pPr>
            <w:r>
              <w:t>Number of Year 13s</w:t>
            </w:r>
          </w:p>
        </w:tc>
        <w:tc>
          <w:tcPr>
            <w:tcW w:w="3825" w:type="dxa"/>
            <w:gridSpan w:val="2"/>
            <w:shd w:val="clear" w:color="auto" w:fill="B3E5A1" w:themeFill="accent6" w:themeFillTint="66"/>
          </w:tcPr>
          <w:p w14:paraId="0D72CB46" w14:textId="7DEADB19" w:rsidR="00A86C18" w:rsidRDefault="00A86C18" w:rsidP="00A86C18">
            <w:pPr>
              <w:jc w:val="center"/>
            </w:pPr>
            <w:r>
              <w:t>Number of Year 14s</w:t>
            </w:r>
          </w:p>
        </w:tc>
      </w:tr>
      <w:tr w:rsidR="00A86C18" w14:paraId="222510A4" w14:textId="07ECF3A8" w:rsidTr="00A86C18">
        <w:trPr>
          <w:trHeight w:val="585"/>
        </w:trPr>
        <w:tc>
          <w:tcPr>
            <w:tcW w:w="1849" w:type="dxa"/>
            <w:vMerge w:val="restart"/>
          </w:tcPr>
          <w:p w14:paraId="345EA654" w14:textId="77777777" w:rsidR="00A86C18" w:rsidRDefault="00A86C18" w:rsidP="00A86C18">
            <w:pPr>
              <w:jc w:val="center"/>
              <w:rPr>
                <w:sz w:val="40"/>
                <w:szCs w:val="40"/>
              </w:rPr>
            </w:pPr>
          </w:p>
          <w:p w14:paraId="0FBFFE4C" w14:textId="77777777" w:rsidR="00A86C18" w:rsidRDefault="00A86C18" w:rsidP="00A86C18">
            <w:pPr>
              <w:jc w:val="center"/>
              <w:rPr>
                <w:sz w:val="40"/>
                <w:szCs w:val="40"/>
              </w:rPr>
            </w:pPr>
          </w:p>
          <w:p w14:paraId="6EDC940E" w14:textId="2E1FA9C0" w:rsidR="00A86C18" w:rsidRPr="00A86C18" w:rsidRDefault="00A86C18" w:rsidP="00A86C18">
            <w:pPr>
              <w:jc w:val="center"/>
              <w:rPr>
                <w:sz w:val="40"/>
                <w:szCs w:val="40"/>
              </w:rPr>
            </w:pPr>
            <w:r w:rsidRPr="00A86C18">
              <w:rPr>
                <w:sz w:val="40"/>
                <w:szCs w:val="40"/>
              </w:rPr>
              <w:t>23-24</w:t>
            </w:r>
          </w:p>
        </w:tc>
        <w:tc>
          <w:tcPr>
            <w:tcW w:w="4499" w:type="dxa"/>
            <w:gridSpan w:val="3"/>
          </w:tcPr>
          <w:p w14:paraId="1F28D9EB" w14:textId="6C9CF6A7" w:rsidR="00A86C18" w:rsidRPr="00A86C18" w:rsidRDefault="00A86C18" w:rsidP="00A86C18">
            <w:pPr>
              <w:jc w:val="center"/>
              <w:rPr>
                <w:sz w:val="40"/>
                <w:szCs w:val="40"/>
              </w:rPr>
            </w:pPr>
            <w:r w:rsidRPr="00A86C18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7</w:t>
            </w:r>
          </w:p>
        </w:tc>
        <w:tc>
          <w:tcPr>
            <w:tcW w:w="3825" w:type="dxa"/>
            <w:gridSpan w:val="3"/>
          </w:tcPr>
          <w:p w14:paraId="7D3CD785" w14:textId="41D4CF84" w:rsidR="00A86C18" w:rsidRPr="00A86C18" w:rsidRDefault="00A86C18" w:rsidP="00A86C18">
            <w:pPr>
              <w:jc w:val="center"/>
              <w:rPr>
                <w:sz w:val="40"/>
                <w:szCs w:val="40"/>
              </w:rPr>
            </w:pPr>
            <w:r w:rsidRPr="00A86C18">
              <w:rPr>
                <w:sz w:val="40"/>
                <w:szCs w:val="40"/>
              </w:rPr>
              <w:t>12</w:t>
            </w:r>
          </w:p>
        </w:tc>
        <w:tc>
          <w:tcPr>
            <w:tcW w:w="3825" w:type="dxa"/>
            <w:gridSpan w:val="2"/>
          </w:tcPr>
          <w:p w14:paraId="284C227D" w14:textId="6D4595F8" w:rsidR="00A86C18" w:rsidRPr="00A86C18" w:rsidRDefault="00A86C18" w:rsidP="00A86C18">
            <w:pPr>
              <w:jc w:val="center"/>
              <w:rPr>
                <w:sz w:val="40"/>
                <w:szCs w:val="40"/>
              </w:rPr>
            </w:pPr>
            <w:r w:rsidRPr="00A86C18">
              <w:rPr>
                <w:sz w:val="40"/>
                <w:szCs w:val="40"/>
              </w:rPr>
              <w:t>4</w:t>
            </w:r>
          </w:p>
        </w:tc>
      </w:tr>
      <w:tr w:rsidR="00A86C18" w14:paraId="4ECE3ABE" w14:textId="0BD3E091" w:rsidTr="00A86C18">
        <w:trPr>
          <w:trHeight w:val="616"/>
        </w:trPr>
        <w:tc>
          <w:tcPr>
            <w:tcW w:w="1849" w:type="dxa"/>
            <w:vMerge/>
          </w:tcPr>
          <w:p w14:paraId="02FC18DB" w14:textId="77777777" w:rsidR="00A86C18" w:rsidRDefault="00A86C18" w:rsidP="00A86C18"/>
        </w:tc>
        <w:tc>
          <w:tcPr>
            <w:tcW w:w="1499" w:type="dxa"/>
            <w:shd w:val="clear" w:color="auto" w:fill="CAEDFB" w:themeFill="accent4" w:themeFillTint="33"/>
          </w:tcPr>
          <w:p w14:paraId="45071A32" w14:textId="2018A00F" w:rsidR="00A86C18" w:rsidRPr="00A86C18" w:rsidRDefault="00A86C18" w:rsidP="00A86C18">
            <w:pPr>
              <w:jc w:val="center"/>
              <w:rPr>
                <w:sz w:val="22"/>
                <w:szCs w:val="22"/>
              </w:rPr>
            </w:pPr>
            <w:r w:rsidRPr="00A86C18">
              <w:rPr>
                <w:sz w:val="22"/>
                <w:szCs w:val="22"/>
              </w:rPr>
              <w:t>Stayed at WS</w:t>
            </w:r>
          </w:p>
        </w:tc>
        <w:tc>
          <w:tcPr>
            <w:tcW w:w="1500" w:type="dxa"/>
            <w:shd w:val="clear" w:color="auto" w:fill="CAEDFB" w:themeFill="accent4" w:themeFillTint="33"/>
          </w:tcPr>
          <w:p w14:paraId="3C84BDB7" w14:textId="44794CAE" w:rsidR="00A86C18" w:rsidRPr="00A86C18" w:rsidRDefault="00A86C18" w:rsidP="00A86C18">
            <w:pPr>
              <w:jc w:val="center"/>
              <w:rPr>
                <w:sz w:val="22"/>
                <w:szCs w:val="22"/>
              </w:rPr>
            </w:pPr>
            <w:r w:rsidRPr="00A86C18">
              <w:rPr>
                <w:sz w:val="22"/>
                <w:szCs w:val="22"/>
              </w:rPr>
              <w:t>Left to Alternative provision</w:t>
            </w:r>
          </w:p>
        </w:tc>
        <w:tc>
          <w:tcPr>
            <w:tcW w:w="1500" w:type="dxa"/>
            <w:shd w:val="clear" w:color="auto" w:fill="CAEDFB" w:themeFill="accent4" w:themeFillTint="33"/>
          </w:tcPr>
          <w:p w14:paraId="1C5242A8" w14:textId="321231A1" w:rsidR="00A86C18" w:rsidRPr="00A86C18" w:rsidRDefault="00A86C18" w:rsidP="00A86C18">
            <w:pPr>
              <w:jc w:val="center"/>
              <w:rPr>
                <w:sz w:val="22"/>
                <w:szCs w:val="22"/>
              </w:rPr>
            </w:pPr>
            <w:r w:rsidRPr="00A86C18">
              <w:rPr>
                <w:sz w:val="22"/>
                <w:szCs w:val="22"/>
              </w:rPr>
              <w:t>NEET</w:t>
            </w:r>
          </w:p>
        </w:tc>
        <w:tc>
          <w:tcPr>
            <w:tcW w:w="1275" w:type="dxa"/>
            <w:shd w:val="clear" w:color="auto" w:fill="CAEDFB" w:themeFill="accent4" w:themeFillTint="33"/>
          </w:tcPr>
          <w:p w14:paraId="74673F33" w14:textId="65A7E05B" w:rsidR="00A86C18" w:rsidRDefault="00A86C18" w:rsidP="00A86C18">
            <w:pPr>
              <w:jc w:val="center"/>
            </w:pPr>
            <w:r w:rsidRPr="00A86C18">
              <w:rPr>
                <w:sz w:val="22"/>
                <w:szCs w:val="22"/>
              </w:rPr>
              <w:t>Stayed at WS</w:t>
            </w:r>
          </w:p>
        </w:tc>
        <w:tc>
          <w:tcPr>
            <w:tcW w:w="1275" w:type="dxa"/>
            <w:shd w:val="clear" w:color="auto" w:fill="CAEDFB" w:themeFill="accent4" w:themeFillTint="33"/>
          </w:tcPr>
          <w:p w14:paraId="37F07EAA" w14:textId="7456E895" w:rsidR="00A86C18" w:rsidRDefault="00A86C18" w:rsidP="00A86C18">
            <w:pPr>
              <w:jc w:val="center"/>
            </w:pPr>
            <w:r w:rsidRPr="00A86C18">
              <w:rPr>
                <w:sz w:val="22"/>
                <w:szCs w:val="22"/>
              </w:rPr>
              <w:t>Left to Alternative provision</w:t>
            </w:r>
          </w:p>
        </w:tc>
        <w:tc>
          <w:tcPr>
            <w:tcW w:w="1275" w:type="dxa"/>
            <w:shd w:val="clear" w:color="auto" w:fill="CAEDFB" w:themeFill="accent4" w:themeFillTint="33"/>
          </w:tcPr>
          <w:p w14:paraId="1AD3EA3F" w14:textId="4525A10D" w:rsidR="00A86C18" w:rsidRDefault="00A86C18" w:rsidP="00A86C18">
            <w:pPr>
              <w:jc w:val="center"/>
            </w:pPr>
            <w:r w:rsidRPr="00A86C18">
              <w:rPr>
                <w:sz w:val="22"/>
                <w:szCs w:val="22"/>
              </w:rPr>
              <w:t>NEET</w:t>
            </w:r>
          </w:p>
        </w:tc>
        <w:tc>
          <w:tcPr>
            <w:tcW w:w="1912" w:type="dxa"/>
            <w:shd w:val="clear" w:color="auto" w:fill="CAEDFB" w:themeFill="accent4" w:themeFillTint="33"/>
          </w:tcPr>
          <w:p w14:paraId="3EE9C734" w14:textId="57C949D7" w:rsidR="00A86C18" w:rsidRDefault="00A86C18" w:rsidP="00A86C18">
            <w:pPr>
              <w:jc w:val="center"/>
            </w:pPr>
            <w:r w:rsidRPr="00A86C18">
              <w:rPr>
                <w:sz w:val="22"/>
                <w:szCs w:val="22"/>
              </w:rPr>
              <w:t>Left to Alternative provision</w:t>
            </w:r>
          </w:p>
        </w:tc>
        <w:tc>
          <w:tcPr>
            <w:tcW w:w="1913" w:type="dxa"/>
            <w:shd w:val="clear" w:color="auto" w:fill="CAEDFB" w:themeFill="accent4" w:themeFillTint="33"/>
          </w:tcPr>
          <w:p w14:paraId="5A5AD545" w14:textId="6022B4FD" w:rsidR="00A86C18" w:rsidRDefault="00A86C18" w:rsidP="00A86C18">
            <w:pPr>
              <w:jc w:val="center"/>
            </w:pPr>
            <w:r w:rsidRPr="00A86C18">
              <w:rPr>
                <w:sz w:val="22"/>
                <w:szCs w:val="22"/>
              </w:rPr>
              <w:t>NEET</w:t>
            </w:r>
          </w:p>
        </w:tc>
      </w:tr>
      <w:tr w:rsidR="00A86C18" w14:paraId="3092547D" w14:textId="77777777" w:rsidTr="00A86C18">
        <w:trPr>
          <w:trHeight w:val="616"/>
        </w:trPr>
        <w:tc>
          <w:tcPr>
            <w:tcW w:w="1849" w:type="dxa"/>
            <w:vMerge/>
          </w:tcPr>
          <w:p w14:paraId="0F27BBFD" w14:textId="77777777" w:rsidR="00A86C18" w:rsidRDefault="00A86C18"/>
        </w:tc>
        <w:tc>
          <w:tcPr>
            <w:tcW w:w="1499" w:type="dxa"/>
          </w:tcPr>
          <w:p w14:paraId="026388DE" w14:textId="46B3B308" w:rsidR="00A86C18" w:rsidRPr="00A86C18" w:rsidRDefault="00A86C18" w:rsidP="00A86C18">
            <w:pPr>
              <w:jc w:val="center"/>
              <w:rPr>
                <w:sz w:val="28"/>
                <w:szCs w:val="28"/>
              </w:rPr>
            </w:pPr>
            <w:r w:rsidRPr="00A86C18">
              <w:rPr>
                <w:sz w:val="28"/>
                <w:szCs w:val="28"/>
              </w:rPr>
              <w:t>14</w:t>
            </w:r>
          </w:p>
        </w:tc>
        <w:tc>
          <w:tcPr>
            <w:tcW w:w="1500" w:type="dxa"/>
          </w:tcPr>
          <w:p w14:paraId="3F8669B7" w14:textId="76E8140B" w:rsidR="00A86C18" w:rsidRPr="00A86C18" w:rsidRDefault="00A86C18" w:rsidP="00A86C18">
            <w:pPr>
              <w:jc w:val="center"/>
              <w:rPr>
                <w:sz w:val="28"/>
                <w:szCs w:val="28"/>
              </w:rPr>
            </w:pPr>
            <w:r w:rsidRPr="00A86C18">
              <w:rPr>
                <w:sz w:val="28"/>
                <w:szCs w:val="28"/>
              </w:rPr>
              <w:t>3</w:t>
            </w:r>
          </w:p>
        </w:tc>
        <w:tc>
          <w:tcPr>
            <w:tcW w:w="1500" w:type="dxa"/>
          </w:tcPr>
          <w:p w14:paraId="22926CBF" w14:textId="73BA2CDB" w:rsidR="00A86C18" w:rsidRPr="00A86C18" w:rsidRDefault="00A86C18" w:rsidP="00A86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6A36592" w14:textId="5CAF4EEA" w:rsidR="00A86C18" w:rsidRPr="00A86C18" w:rsidRDefault="00A86C18" w:rsidP="00A86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557C8368" w14:textId="4C7356BA" w:rsidR="00A86C18" w:rsidRPr="00A86C18" w:rsidRDefault="00A86C18" w:rsidP="00A86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6662AF01" w14:textId="7FD2F0BD" w:rsidR="00A86C18" w:rsidRPr="00A86C18" w:rsidRDefault="00A86C18" w:rsidP="00A86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12" w:type="dxa"/>
          </w:tcPr>
          <w:p w14:paraId="495B38BF" w14:textId="7C51A632" w:rsidR="00A86C18" w:rsidRPr="00A86C18" w:rsidRDefault="00A86C18" w:rsidP="00A86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13" w:type="dxa"/>
          </w:tcPr>
          <w:p w14:paraId="72E0AE79" w14:textId="6361B6EF" w:rsidR="00A86C18" w:rsidRPr="00A86C18" w:rsidRDefault="00A86C18" w:rsidP="00A86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86C18" w14:paraId="514E7788" w14:textId="77777777" w:rsidTr="00A86C18">
        <w:trPr>
          <w:trHeight w:val="616"/>
        </w:trPr>
        <w:tc>
          <w:tcPr>
            <w:tcW w:w="1849" w:type="dxa"/>
            <w:vMerge/>
          </w:tcPr>
          <w:p w14:paraId="570BB42F" w14:textId="77777777" w:rsidR="00A86C18" w:rsidRDefault="00A86C18"/>
        </w:tc>
        <w:tc>
          <w:tcPr>
            <w:tcW w:w="1499" w:type="dxa"/>
          </w:tcPr>
          <w:p w14:paraId="770C5712" w14:textId="4B9F0B6F" w:rsidR="00A86C18" w:rsidRPr="00A86C18" w:rsidRDefault="00A86C18" w:rsidP="00A86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82.4%</w:t>
            </w:r>
          </w:p>
        </w:tc>
        <w:tc>
          <w:tcPr>
            <w:tcW w:w="1500" w:type="dxa"/>
          </w:tcPr>
          <w:p w14:paraId="2F75523D" w14:textId="2CF5902A" w:rsidR="00A86C18" w:rsidRPr="00A86C18" w:rsidRDefault="00A86C18" w:rsidP="00A86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17.6%</w:t>
            </w:r>
          </w:p>
        </w:tc>
        <w:tc>
          <w:tcPr>
            <w:tcW w:w="1500" w:type="dxa"/>
          </w:tcPr>
          <w:p w14:paraId="42E0BC03" w14:textId="549A52A7" w:rsidR="00A86C18" w:rsidRDefault="00A86C18" w:rsidP="00A86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1275" w:type="dxa"/>
          </w:tcPr>
          <w:p w14:paraId="42998E5D" w14:textId="08A22752" w:rsidR="00A86C18" w:rsidRDefault="00A86C18" w:rsidP="00A86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41.7%</w:t>
            </w:r>
          </w:p>
        </w:tc>
        <w:tc>
          <w:tcPr>
            <w:tcW w:w="1275" w:type="dxa"/>
          </w:tcPr>
          <w:p w14:paraId="17F7665F" w14:textId="3CB74B4F" w:rsidR="00A86C18" w:rsidRDefault="00A86C18" w:rsidP="00A86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58.3%</w:t>
            </w:r>
          </w:p>
        </w:tc>
        <w:tc>
          <w:tcPr>
            <w:tcW w:w="1275" w:type="dxa"/>
          </w:tcPr>
          <w:p w14:paraId="091F0329" w14:textId="0E9C88AA" w:rsidR="00A86C18" w:rsidRDefault="00A86C18" w:rsidP="00A86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1912" w:type="dxa"/>
          </w:tcPr>
          <w:p w14:paraId="05C8FBAA" w14:textId="22FCE493" w:rsidR="00A86C18" w:rsidRDefault="00A86C18" w:rsidP="00A86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913" w:type="dxa"/>
          </w:tcPr>
          <w:p w14:paraId="0A6B4BFA" w14:textId="6CA641B8" w:rsidR="00A86C18" w:rsidRDefault="00A86C18" w:rsidP="00A86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</w:tbl>
    <w:p w14:paraId="5A2CCD8F" w14:textId="77777777" w:rsidR="00A86C18" w:rsidRDefault="00A86C18"/>
    <w:p w14:paraId="409831A4" w14:textId="77777777" w:rsidR="00A86C18" w:rsidRDefault="00A86C18"/>
    <w:p w14:paraId="27BFF5DB" w14:textId="77777777" w:rsidR="00A86C18" w:rsidRDefault="00A86C18"/>
    <w:p w14:paraId="79156916" w14:textId="77777777" w:rsidR="00A86C18" w:rsidRDefault="00A86C18"/>
    <w:p w14:paraId="60C5D605" w14:textId="1D702434" w:rsidR="00A86C18" w:rsidRPr="00A86C18" w:rsidRDefault="00A86C18">
      <w:pPr>
        <w:rPr>
          <w:b/>
          <w:bCs/>
        </w:rPr>
      </w:pPr>
      <w:r w:rsidRPr="00A86C18">
        <w:rPr>
          <w:b/>
          <w:bCs/>
        </w:rPr>
        <w:t>Unconfirmed</w:t>
      </w:r>
    </w:p>
    <w:tbl>
      <w:tblPr>
        <w:tblStyle w:val="TableGrid"/>
        <w:tblW w:w="14596" w:type="dxa"/>
        <w:tblInd w:w="-3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440"/>
        <w:gridCol w:w="1213"/>
        <w:gridCol w:w="1394"/>
        <w:gridCol w:w="1195"/>
        <w:gridCol w:w="1846"/>
        <w:gridCol w:w="2055"/>
        <w:gridCol w:w="1394"/>
        <w:gridCol w:w="1034"/>
        <w:gridCol w:w="1546"/>
        <w:gridCol w:w="1479"/>
      </w:tblGrid>
      <w:tr w:rsidR="00A86C18" w14:paraId="5F6122EC" w14:textId="77777777" w:rsidTr="00A86C18">
        <w:trPr>
          <w:trHeight w:val="645"/>
        </w:trPr>
        <w:tc>
          <w:tcPr>
            <w:tcW w:w="1440" w:type="dxa"/>
            <w:shd w:val="clear" w:color="auto" w:fill="000000" w:themeFill="text1"/>
          </w:tcPr>
          <w:p w14:paraId="08C89DF5" w14:textId="77777777" w:rsidR="00A86C18" w:rsidRDefault="00A86C18" w:rsidP="00FE3CB9">
            <w:pPr>
              <w:jc w:val="center"/>
            </w:pPr>
          </w:p>
        </w:tc>
        <w:tc>
          <w:tcPr>
            <w:tcW w:w="3802" w:type="dxa"/>
            <w:gridSpan w:val="3"/>
            <w:shd w:val="clear" w:color="auto" w:fill="FFC000"/>
          </w:tcPr>
          <w:p w14:paraId="136072A9" w14:textId="77777777" w:rsidR="00A86C18" w:rsidRDefault="00A86C18" w:rsidP="00FE3CB9">
            <w:pPr>
              <w:jc w:val="center"/>
            </w:pPr>
            <w:r>
              <w:t>Number of Year 11s</w:t>
            </w:r>
          </w:p>
        </w:tc>
        <w:tc>
          <w:tcPr>
            <w:tcW w:w="1846" w:type="dxa"/>
            <w:shd w:val="clear" w:color="auto" w:fill="D86DCB" w:themeFill="accent5" w:themeFillTint="99"/>
          </w:tcPr>
          <w:p w14:paraId="747C5AF7" w14:textId="51784993" w:rsidR="00A86C18" w:rsidRDefault="00A86C18" w:rsidP="00FE3CB9">
            <w:pPr>
              <w:jc w:val="center"/>
            </w:pPr>
            <w:r>
              <w:t>Year 12’s</w:t>
            </w:r>
          </w:p>
        </w:tc>
        <w:tc>
          <w:tcPr>
            <w:tcW w:w="4483" w:type="dxa"/>
            <w:gridSpan w:val="3"/>
            <w:shd w:val="clear" w:color="auto" w:fill="F6C5AC" w:themeFill="accent2" w:themeFillTint="66"/>
          </w:tcPr>
          <w:p w14:paraId="761B68C6" w14:textId="7A784F05" w:rsidR="00A86C18" w:rsidRDefault="00A86C18" w:rsidP="00FE3CB9">
            <w:pPr>
              <w:jc w:val="center"/>
            </w:pPr>
            <w:r>
              <w:t>Number of Year 13s</w:t>
            </w:r>
          </w:p>
        </w:tc>
        <w:tc>
          <w:tcPr>
            <w:tcW w:w="3025" w:type="dxa"/>
            <w:gridSpan w:val="2"/>
            <w:shd w:val="clear" w:color="auto" w:fill="B3E5A1" w:themeFill="accent6" w:themeFillTint="66"/>
          </w:tcPr>
          <w:p w14:paraId="148F7AA7" w14:textId="77777777" w:rsidR="00A86C18" w:rsidRDefault="00A86C18" w:rsidP="00FE3CB9">
            <w:pPr>
              <w:jc w:val="center"/>
            </w:pPr>
            <w:r>
              <w:t>Number of Year 14s</w:t>
            </w:r>
          </w:p>
        </w:tc>
      </w:tr>
      <w:tr w:rsidR="00A86C18" w14:paraId="41C8AFCE" w14:textId="77777777" w:rsidTr="00A86C18">
        <w:trPr>
          <w:trHeight w:val="612"/>
        </w:trPr>
        <w:tc>
          <w:tcPr>
            <w:tcW w:w="1440" w:type="dxa"/>
            <w:vMerge w:val="restart"/>
          </w:tcPr>
          <w:p w14:paraId="2C8591CD" w14:textId="77777777" w:rsidR="00A86C18" w:rsidRDefault="00A86C18" w:rsidP="00FE3CB9">
            <w:pPr>
              <w:jc w:val="center"/>
              <w:rPr>
                <w:sz w:val="40"/>
                <w:szCs w:val="40"/>
              </w:rPr>
            </w:pPr>
          </w:p>
          <w:p w14:paraId="1B3725B0" w14:textId="77777777" w:rsidR="00A86C18" w:rsidRDefault="00A86C18" w:rsidP="00FE3CB9">
            <w:pPr>
              <w:jc w:val="center"/>
              <w:rPr>
                <w:sz w:val="40"/>
                <w:szCs w:val="40"/>
              </w:rPr>
            </w:pPr>
          </w:p>
          <w:p w14:paraId="2DAD9DF7" w14:textId="079B81D7" w:rsidR="00A86C18" w:rsidRPr="00A86C18" w:rsidRDefault="00A86C18" w:rsidP="00FE3CB9">
            <w:pPr>
              <w:jc w:val="center"/>
              <w:rPr>
                <w:sz w:val="40"/>
                <w:szCs w:val="40"/>
              </w:rPr>
            </w:pPr>
            <w:r w:rsidRPr="00A86C18">
              <w:rPr>
                <w:sz w:val="40"/>
                <w:szCs w:val="40"/>
              </w:rPr>
              <w:t>2</w:t>
            </w:r>
            <w:r>
              <w:rPr>
                <w:sz w:val="40"/>
                <w:szCs w:val="40"/>
              </w:rPr>
              <w:t>4</w:t>
            </w:r>
            <w:r w:rsidRPr="00A86C18">
              <w:rPr>
                <w:sz w:val="40"/>
                <w:szCs w:val="40"/>
              </w:rPr>
              <w:t>-2</w:t>
            </w:r>
            <w:r>
              <w:rPr>
                <w:sz w:val="40"/>
                <w:szCs w:val="40"/>
              </w:rPr>
              <w:t>5</w:t>
            </w:r>
          </w:p>
        </w:tc>
        <w:tc>
          <w:tcPr>
            <w:tcW w:w="3802" w:type="dxa"/>
            <w:gridSpan w:val="3"/>
          </w:tcPr>
          <w:p w14:paraId="7891DC14" w14:textId="2CF5CF5D" w:rsidR="00A86C18" w:rsidRPr="00A86C18" w:rsidRDefault="00A86C18" w:rsidP="00FE3CB9">
            <w:pPr>
              <w:jc w:val="center"/>
              <w:rPr>
                <w:sz w:val="40"/>
                <w:szCs w:val="40"/>
              </w:rPr>
            </w:pPr>
            <w:r w:rsidRPr="00A86C18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1</w:t>
            </w:r>
          </w:p>
        </w:tc>
        <w:tc>
          <w:tcPr>
            <w:tcW w:w="1846" w:type="dxa"/>
            <w:vMerge w:val="restart"/>
            <w:shd w:val="clear" w:color="auto" w:fill="FFFFFF" w:themeFill="background1"/>
          </w:tcPr>
          <w:p w14:paraId="3C2AF594" w14:textId="77777777" w:rsidR="00A86C18" w:rsidRDefault="00A86C18" w:rsidP="00FE3CB9">
            <w:pPr>
              <w:jc w:val="center"/>
              <w:rPr>
                <w:sz w:val="40"/>
                <w:szCs w:val="40"/>
              </w:rPr>
            </w:pPr>
          </w:p>
          <w:p w14:paraId="4FEB85B6" w14:textId="6FB53F3A" w:rsidR="00A86C18" w:rsidRPr="00A86C18" w:rsidRDefault="00A86C18" w:rsidP="00FE3CB9">
            <w:pPr>
              <w:jc w:val="center"/>
              <w:rPr>
                <w:sz w:val="28"/>
                <w:szCs w:val="28"/>
              </w:rPr>
            </w:pPr>
            <w:r w:rsidRPr="00A86C18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Y</w:t>
            </w:r>
            <w:r w:rsidRPr="00A86C18">
              <w:rPr>
                <w:sz w:val="28"/>
                <w:szCs w:val="28"/>
              </w:rPr>
              <w:t xml:space="preserve">ear 12 has chosen to </w:t>
            </w:r>
            <w:r>
              <w:rPr>
                <w:sz w:val="28"/>
                <w:szCs w:val="28"/>
              </w:rPr>
              <w:t>leave this year.</w:t>
            </w:r>
          </w:p>
        </w:tc>
        <w:tc>
          <w:tcPr>
            <w:tcW w:w="4483" w:type="dxa"/>
            <w:gridSpan w:val="3"/>
          </w:tcPr>
          <w:p w14:paraId="0EB4D2D2" w14:textId="61BAA226" w:rsidR="00A86C18" w:rsidRPr="00A86C18" w:rsidRDefault="00A86C18" w:rsidP="00FE3CB9">
            <w:pPr>
              <w:jc w:val="center"/>
              <w:rPr>
                <w:sz w:val="40"/>
                <w:szCs w:val="40"/>
              </w:rPr>
            </w:pPr>
            <w:r w:rsidRPr="00A86C18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3</w:t>
            </w:r>
          </w:p>
        </w:tc>
        <w:tc>
          <w:tcPr>
            <w:tcW w:w="3025" w:type="dxa"/>
            <w:gridSpan w:val="2"/>
          </w:tcPr>
          <w:p w14:paraId="4A0876F7" w14:textId="77777777" w:rsidR="00A86C18" w:rsidRPr="00A86C18" w:rsidRDefault="00A86C18" w:rsidP="00FE3CB9">
            <w:pPr>
              <w:jc w:val="center"/>
              <w:rPr>
                <w:sz w:val="40"/>
                <w:szCs w:val="40"/>
              </w:rPr>
            </w:pPr>
            <w:r w:rsidRPr="00A86C18">
              <w:rPr>
                <w:sz w:val="40"/>
                <w:szCs w:val="40"/>
              </w:rPr>
              <w:t>4</w:t>
            </w:r>
          </w:p>
        </w:tc>
      </w:tr>
      <w:tr w:rsidR="00A86C18" w14:paraId="1AD71120" w14:textId="77777777" w:rsidTr="00A86C18">
        <w:trPr>
          <w:trHeight w:val="645"/>
        </w:trPr>
        <w:tc>
          <w:tcPr>
            <w:tcW w:w="1440" w:type="dxa"/>
            <w:vMerge/>
          </w:tcPr>
          <w:p w14:paraId="4B0D5604" w14:textId="77777777" w:rsidR="00A86C18" w:rsidRDefault="00A86C18" w:rsidP="00FE3CB9"/>
        </w:tc>
        <w:tc>
          <w:tcPr>
            <w:tcW w:w="1213" w:type="dxa"/>
            <w:shd w:val="clear" w:color="auto" w:fill="CAEDFB" w:themeFill="accent4" w:themeFillTint="33"/>
          </w:tcPr>
          <w:p w14:paraId="59A9ABAC" w14:textId="77777777" w:rsidR="00A86C18" w:rsidRPr="00A86C18" w:rsidRDefault="00A86C18" w:rsidP="00FE3CB9">
            <w:pPr>
              <w:jc w:val="center"/>
              <w:rPr>
                <w:sz w:val="22"/>
                <w:szCs w:val="22"/>
              </w:rPr>
            </w:pPr>
            <w:r w:rsidRPr="00A86C18">
              <w:rPr>
                <w:sz w:val="22"/>
                <w:szCs w:val="22"/>
              </w:rPr>
              <w:t>Stayed at WS</w:t>
            </w:r>
          </w:p>
        </w:tc>
        <w:tc>
          <w:tcPr>
            <w:tcW w:w="1394" w:type="dxa"/>
            <w:shd w:val="clear" w:color="auto" w:fill="CAEDFB" w:themeFill="accent4" w:themeFillTint="33"/>
          </w:tcPr>
          <w:p w14:paraId="5D2BC59E" w14:textId="77777777" w:rsidR="00A86C18" w:rsidRPr="00A86C18" w:rsidRDefault="00A86C18" w:rsidP="00FE3CB9">
            <w:pPr>
              <w:jc w:val="center"/>
              <w:rPr>
                <w:sz w:val="22"/>
                <w:szCs w:val="22"/>
              </w:rPr>
            </w:pPr>
            <w:r w:rsidRPr="00A86C18">
              <w:rPr>
                <w:sz w:val="22"/>
                <w:szCs w:val="22"/>
              </w:rPr>
              <w:t>Left to Alternative provision</w:t>
            </w:r>
          </w:p>
        </w:tc>
        <w:tc>
          <w:tcPr>
            <w:tcW w:w="1195" w:type="dxa"/>
            <w:shd w:val="clear" w:color="auto" w:fill="CAEDFB" w:themeFill="accent4" w:themeFillTint="33"/>
          </w:tcPr>
          <w:p w14:paraId="734919F5" w14:textId="77777777" w:rsidR="00A86C18" w:rsidRPr="00A86C18" w:rsidRDefault="00A86C18" w:rsidP="00FE3CB9">
            <w:pPr>
              <w:jc w:val="center"/>
              <w:rPr>
                <w:sz w:val="22"/>
                <w:szCs w:val="22"/>
              </w:rPr>
            </w:pPr>
            <w:r w:rsidRPr="00A86C18">
              <w:rPr>
                <w:sz w:val="22"/>
                <w:szCs w:val="22"/>
              </w:rPr>
              <w:t>NEET</w:t>
            </w:r>
          </w:p>
        </w:tc>
        <w:tc>
          <w:tcPr>
            <w:tcW w:w="1846" w:type="dxa"/>
            <w:vMerge/>
            <w:shd w:val="clear" w:color="auto" w:fill="FFFFFF" w:themeFill="background1"/>
          </w:tcPr>
          <w:p w14:paraId="4C8635A1" w14:textId="77777777" w:rsidR="00A86C18" w:rsidRPr="00A86C18" w:rsidRDefault="00A86C18" w:rsidP="00FE3C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CAEDFB" w:themeFill="accent4" w:themeFillTint="33"/>
          </w:tcPr>
          <w:p w14:paraId="5675CADB" w14:textId="19758544" w:rsidR="00A86C18" w:rsidRDefault="00A86C18" w:rsidP="00FE3CB9">
            <w:pPr>
              <w:jc w:val="center"/>
            </w:pPr>
            <w:r w:rsidRPr="00A86C18">
              <w:rPr>
                <w:sz w:val="22"/>
                <w:szCs w:val="22"/>
              </w:rPr>
              <w:t>Stayed at WS</w:t>
            </w:r>
          </w:p>
        </w:tc>
        <w:tc>
          <w:tcPr>
            <w:tcW w:w="1394" w:type="dxa"/>
            <w:shd w:val="clear" w:color="auto" w:fill="CAEDFB" w:themeFill="accent4" w:themeFillTint="33"/>
          </w:tcPr>
          <w:p w14:paraId="7FF42153" w14:textId="77777777" w:rsidR="00A86C18" w:rsidRDefault="00A86C18" w:rsidP="00FE3CB9">
            <w:pPr>
              <w:jc w:val="center"/>
            </w:pPr>
            <w:r w:rsidRPr="00A86C18">
              <w:rPr>
                <w:sz w:val="22"/>
                <w:szCs w:val="22"/>
              </w:rPr>
              <w:t>Left to Alternative provision</w:t>
            </w:r>
          </w:p>
        </w:tc>
        <w:tc>
          <w:tcPr>
            <w:tcW w:w="1034" w:type="dxa"/>
            <w:shd w:val="clear" w:color="auto" w:fill="CAEDFB" w:themeFill="accent4" w:themeFillTint="33"/>
          </w:tcPr>
          <w:p w14:paraId="53AF7153" w14:textId="77777777" w:rsidR="00A86C18" w:rsidRDefault="00A86C18" w:rsidP="00FE3CB9">
            <w:pPr>
              <w:jc w:val="center"/>
            </w:pPr>
            <w:r w:rsidRPr="00A86C18">
              <w:rPr>
                <w:sz w:val="22"/>
                <w:szCs w:val="22"/>
              </w:rPr>
              <w:t>NEET</w:t>
            </w:r>
          </w:p>
        </w:tc>
        <w:tc>
          <w:tcPr>
            <w:tcW w:w="1546" w:type="dxa"/>
            <w:shd w:val="clear" w:color="auto" w:fill="CAEDFB" w:themeFill="accent4" w:themeFillTint="33"/>
          </w:tcPr>
          <w:p w14:paraId="0C9B66E1" w14:textId="77777777" w:rsidR="00A86C18" w:rsidRDefault="00A86C18" w:rsidP="00FE3CB9">
            <w:pPr>
              <w:jc w:val="center"/>
            </w:pPr>
            <w:r w:rsidRPr="00A86C18">
              <w:rPr>
                <w:sz w:val="22"/>
                <w:szCs w:val="22"/>
              </w:rPr>
              <w:t>Left to Alternative provision</w:t>
            </w:r>
          </w:p>
        </w:tc>
        <w:tc>
          <w:tcPr>
            <w:tcW w:w="1479" w:type="dxa"/>
            <w:shd w:val="clear" w:color="auto" w:fill="CAEDFB" w:themeFill="accent4" w:themeFillTint="33"/>
          </w:tcPr>
          <w:p w14:paraId="40C68487" w14:textId="77777777" w:rsidR="00A86C18" w:rsidRDefault="00A86C18" w:rsidP="00FE3CB9">
            <w:pPr>
              <w:jc w:val="center"/>
            </w:pPr>
            <w:r w:rsidRPr="00A86C18">
              <w:rPr>
                <w:sz w:val="22"/>
                <w:szCs w:val="22"/>
              </w:rPr>
              <w:t>NEET</w:t>
            </w:r>
          </w:p>
        </w:tc>
      </w:tr>
      <w:tr w:rsidR="00A86C18" w14:paraId="2884B436" w14:textId="77777777" w:rsidTr="00A86C18">
        <w:trPr>
          <w:trHeight w:val="645"/>
        </w:trPr>
        <w:tc>
          <w:tcPr>
            <w:tcW w:w="1440" w:type="dxa"/>
            <w:vMerge/>
          </w:tcPr>
          <w:p w14:paraId="47B8C98C" w14:textId="77777777" w:rsidR="00A86C18" w:rsidRDefault="00A86C18" w:rsidP="00FE3CB9"/>
        </w:tc>
        <w:tc>
          <w:tcPr>
            <w:tcW w:w="1213" w:type="dxa"/>
          </w:tcPr>
          <w:p w14:paraId="1718E04B" w14:textId="1D641CE4" w:rsidR="00A86C18" w:rsidRPr="00A86C18" w:rsidRDefault="00A86C18" w:rsidP="00FE3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94" w:type="dxa"/>
          </w:tcPr>
          <w:p w14:paraId="30616E52" w14:textId="2165C2D6" w:rsidR="00A86C18" w:rsidRPr="00A86C18" w:rsidRDefault="00A86C18" w:rsidP="00FE3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95" w:type="dxa"/>
          </w:tcPr>
          <w:p w14:paraId="24D207CC" w14:textId="3B1166D6" w:rsidR="00A86C18" w:rsidRPr="00A86C18" w:rsidRDefault="00A86C18" w:rsidP="00FE3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6" w:type="dxa"/>
            <w:vMerge/>
            <w:shd w:val="clear" w:color="auto" w:fill="FFFFFF" w:themeFill="background1"/>
          </w:tcPr>
          <w:p w14:paraId="296FBF56" w14:textId="77777777" w:rsidR="00A86C18" w:rsidRDefault="00A86C18" w:rsidP="00FE3C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14:paraId="2881E5F1" w14:textId="53C4369B" w:rsidR="00A86C18" w:rsidRPr="00A86C18" w:rsidRDefault="00A86C18" w:rsidP="00FE3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94" w:type="dxa"/>
          </w:tcPr>
          <w:p w14:paraId="1A5F174F" w14:textId="775957CA" w:rsidR="00A86C18" w:rsidRPr="00A86C18" w:rsidRDefault="00A86C18" w:rsidP="00FE3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34" w:type="dxa"/>
          </w:tcPr>
          <w:p w14:paraId="4D0DF37C" w14:textId="7A30250D" w:rsidR="00A86C18" w:rsidRPr="00A86C18" w:rsidRDefault="00A86C18" w:rsidP="00FE3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46" w:type="dxa"/>
          </w:tcPr>
          <w:p w14:paraId="2B42C852" w14:textId="7A13C65D" w:rsidR="00A86C18" w:rsidRPr="00A86C18" w:rsidRDefault="00A86C18" w:rsidP="00FE3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79" w:type="dxa"/>
          </w:tcPr>
          <w:p w14:paraId="3C0BB753" w14:textId="77777777" w:rsidR="00A86C18" w:rsidRPr="00A86C18" w:rsidRDefault="00A86C18" w:rsidP="00FE3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86C18" w14:paraId="3DF74FA4" w14:textId="77777777" w:rsidTr="00A86C18">
        <w:trPr>
          <w:trHeight w:val="645"/>
        </w:trPr>
        <w:tc>
          <w:tcPr>
            <w:tcW w:w="1440" w:type="dxa"/>
            <w:vMerge/>
          </w:tcPr>
          <w:p w14:paraId="060232EB" w14:textId="77777777" w:rsidR="00A86C18" w:rsidRDefault="00A86C18" w:rsidP="00FE3CB9"/>
        </w:tc>
        <w:tc>
          <w:tcPr>
            <w:tcW w:w="1213" w:type="dxa"/>
          </w:tcPr>
          <w:p w14:paraId="1D6816CC" w14:textId="02A6C29F" w:rsidR="00A86C18" w:rsidRPr="00A86C18" w:rsidRDefault="00A86C18" w:rsidP="00FE3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81.8%</w:t>
            </w:r>
          </w:p>
        </w:tc>
        <w:tc>
          <w:tcPr>
            <w:tcW w:w="1394" w:type="dxa"/>
          </w:tcPr>
          <w:p w14:paraId="3D3F5724" w14:textId="16B2BA31" w:rsidR="00A86C18" w:rsidRPr="00A86C18" w:rsidRDefault="00A86C18" w:rsidP="00FE3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9.1%</w:t>
            </w:r>
          </w:p>
        </w:tc>
        <w:tc>
          <w:tcPr>
            <w:tcW w:w="1195" w:type="dxa"/>
          </w:tcPr>
          <w:p w14:paraId="41FEE169" w14:textId="53227239" w:rsidR="00A86C18" w:rsidRDefault="00A86C18" w:rsidP="00FE3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9.1%</w:t>
            </w:r>
          </w:p>
        </w:tc>
        <w:tc>
          <w:tcPr>
            <w:tcW w:w="1846" w:type="dxa"/>
            <w:vMerge/>
            <w:shd w:val="clear" w:color="auto" w:fill="FFFFFF" w:themeFill="background1"/>
          </w:tcPr>
          <w:p w14:paraId="4DD04777" w14:textId="77777777" w:rsidR="00A86C18" w:rsidRDefault="00A86C18" w:rsidP="00FE3C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14:paraId="6A1A511C" w14:textId="3F0C16B7" w:rsidR="00A86C18" w:rsidRDefault="00A86C18" w:rsidP="00FE3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23.1%</w:t>
            </w:r>
          </w:p>
        </w:tc>
        <w:tc>
          <w:tcPr>
            <w:tcW w:w="1394" w:type="dxa"/>
          </w:tcPr>
          <w:p w14:paraId="0EA68275" w14:textId="358F709F" w:rsidR="00A86C18" w:rsidRDefault="00A86C18" w:rsidP="00FE3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69.2%</w:t>
            </w:r>
          </w:p>
        </w:tc>
        <w:tc>
          <w:tcPr>
            <w:tcW w:w="1034" w:type="dxa"/>
          </w:tcPr>
          <w:p w14:paraId="24E76978" w14:textId="25798E8A" w:rsidR="00A86C18" w:rsidRDefault="00A86C18" w:rsidP="00FE3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7.7%</w:t>
            </w:r>
          </w:p>
        </w:tc>
        <w:tc>
          <w:tcPr>
            <w:tcW w:w="1546" w:type="dxa"/>
          </w:tcPr>
          <w:p w14:paraId="5CC5E574" w14:textId="77777777" w:rsidR="00A86C18" w:rsidRDefault="00A86C18" w:rsidP="00FE3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479" w:type="dxa"/>
          </w:tcPr>
          <w:p w14:paraId="2F006A35" w14:textId="77777777" w:rsidR="00A86C18" w:rsidRDefault="00A86C18" w:rsidP="00FE3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</w:tbl>
    <w:p w14:paraId="28DD512B" w14:textId="77777777" w:rsidR="00A86C18" w:rsidRDefault="00A86C18"/>
    <w:p w14:paraId="5C554F76" w14:textId="456D7A7C" w:rsidR="00912335" w:rsidRDefault="00912335"/>
    <w:sectPr w:rsidR="00912335" w:rsidSect="00A86C1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40"/>
    <w:rsid w:val="0074650D"/>
    <w:rsid w:val="00762694"/>
    <w:rsid w:val="00912335"/>
    <w:rsid w:val="00A86C18"/>
    <w:rsid w:val="00D55161"/>
    <w:rsid w:val="00DF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E0913"/>
  <w15:chartTrackingRefBased/>
  <w15:docId w15:val="{554BFFEB-2DD7-4F79-9529-26645C426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6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6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6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6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6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6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6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6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6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6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Marshall</dc:creator>
  <cp:keywords/>
  <dc:description/>
  <cp:lastModifiedBy>Susan Marshall</cp:lastModifiedBy>
  <cp:revision>2</cp:revision>
  <dcterms:created xsi:type="dcterms:W3CDTF">2025-06-18T08:41:00Z</dcterms:created>
  <dcterms:modified xsi:type="dcterms:W3CDTF">2025-06-18T08:41:00Z</dcterms:modified>
</cp:coreProperties>
</file>